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1BA5" w14:textId="3841886E" w:rsidR="00A533CA" w:rsidRPr="00682B3B" w:rsidRDefault="009B4685" w:rsidP="008F7A31">
      <w:pPr>
        <w:rPr>
          <w:lang w:eastAsia="en-GB"/>
        </w:rPr>
      </w:pPr>
      <w:r>
        <w:rPr>
          <w:lang w:eastAsia="en-GB"/>
        </w:rPr>
        <w:t xml:space="preserve">31 July </w:t>
      </w:r>
      <w:r w:rsidR="0086426E">
        <w:rPr>
          <w:lang w:eastAsia="en-GB"/>
        </w:rPr>
        <w:t>202</w:t>
      </w:r>
      <w:r w:rsidR="00040881">
        <w:rPr>
          <w:lang w:eastAsia="en-GB"/>
        </w:rPr>
        <w:t>5</w:t>
      </w:r>
    </w:p>
    <w:p w14:paraId="35638985" w14:textId="77777777" w:rsidR="00A533CA" w:rsidRPr="00682B3B" w:rsidRDefault="00A533CA" w:rsidP="00A533CA">
      <w:pPr>
        <w:shd w:val="clear" w:color="auto" w:fill="FFFFFF"/>
        <w:spacing w:after="0" w:line="240" w:lineRule="auto"/>
        <w:rPr>
          <w:rFonts w:eastAsia="Times New Roman" w:cs="Open Sans"/>
          <w:szCs w:val="20"/>
          <w:lang w:eastAsia="en-GB"/>
        </w:rPr>
      </w:pPr>
      <w:r w:rsidRPr="00682B3B">
        <w:rPr>
          <w:rFonts w:eastAsia="Times New Roman" w:cs="Open Sans"/>
          <w:szCs w:val="20"/>
          <w:lang w:eastAsia="en-GB"/>
        </w:rPr>
        <w:t> </w:t>
      </w:r>
    </w:p>
    <w:p w14:paraId="469F8177" w14:textId="77777777" w:rsidR="00A533CA" w:rsidRPr="00682B3B" w:rsidRDefault="00A533CA" w:rsidP="00A533CA">
      <w:pPr>
        <w:shd w:val="clear" w:color="auto" w:fill="FFFFFF"/>
        <w:spacing w:before="100" w:beforeAutospacing="1" w:after="100" w:afterAutospacing="1" w:line="240" w:lineRule="auto"/>
        <w:jc w:val="center"/>
        <w:rPr>
          <w:rFonts w:eastAsia="Times New Roman" w:cs="Open Sans"/>
          <w:szCs w:val="20"/>
          <w:lang w:eastAsia="en-GB"/>
        </w:rPr>
      </w:pPr>
      <w:r w:rsidRPr="00682B3B">
        <w:rPr>
          <w:rFonts w:eastAsia="Times New Roman" w:cs="Open Sans"/>
          <w:b/>
          <w:bCs/>
          <w:szCs w:val="20"/>
          <w:lang w:eastAsia="en-GB"/>
        </w:rPr>
        <w:t xml:space="preserve">Hemogenyx Pharmaceuticals </w:t>
      </w:r>
      <w:r w:rsidR="008F7A31" w:rsidRPr="00682B3B">
        <w:rPr>
          <w:rFonts w:eastAsia="Times New Roman" w:cs="Open Sans"/>
          <w:b/>
          <w:bCs/>
          <w:szCs w:val="20"/>
          <w:lang w:eastAsia="en-GB"/>
        </w:rPr>
        <w:t>p</w:t>
      </w:r>
      <w:r w:rsidRPr="00682B3B">
        <w:rPr>
          <w:rFonts w:eastAsia="Times New Roman" w:cs="Open Sans"/>
          <w:b/>
          <w:bCs/>
          <w:szCs w:val="20"/>
          <w:lang w:eastAsia="en-GB"/>
        </w:rPr>
        <w:t>lc</w:t>
      </w:r>
      <w:r w:rsidRPr="00682B3B">
        <w:rPr>
          <w:rFonts w:eastAsia="Times New Roman" w:cs="Open Sans"/>
          <w:szCs w:val="20"/>
          <w:lang w:eastAsia="en-GB"/>
        </w:rPr>
        <w:t> </w:t>
      </w:r>
    </w:p>
    <w:p w14:paraId="70369D60" w14:textId="77777777" w:rsidR="003B6B9E" w:rsidRPr="00682B3B" w:rsidRDefault="00A533CA" w:rsidP="004A09AF">
      <w:pPr>
        <w:shd w:val="clear" w:color="auto" w:fill="FFFFFF"/>
        <w:spacing w:before="100" w:beforeAutospacing="1" w:after="100" w:afterAutospacing="1" w:line="240" w:lineRule="auto"/>
        <w:jc w:val="center"/>
        <w:rPr>
          <w:rFonts w:eastAsia="Times New Roman" w:cs="Open Sans"/>
          <w:szCs w:val="20"/>
          <w:lang w:eastAsia="en-GB"/>
        </w:rPr>
      </w:pPr>
      <w:r w:rsidRPr="00682B3B">
        <w:rPr>
          <w:rFonts w:eastAsia="Times New Roman" w:cs="Open Sans"/>
          <w:szCs w:val="20"/>
          <w:lang w:eastAsia="en-GB"/>
        </w:rPr>
        <w:t>(</w:t>
      </w:r>
      <w:bookmarkStart w:id="0" w:name="_Hlk44838784"/>
      <w:r w:rsidR="00682B3B" w:rsidRPr="00682B3B">
        <w:rPr>
          <w:rFonts w:eastAsia="Times New Roman" w:cs="Open Sans"/>
          <w:szCs w:val="20"/>
          <w:lang w:eastAsia="en-GB"/>
        </w:rPr>
        <w:t xml:space="preserve">"Hemogenyx Pharmaceuticals" or </w:t>
      </w:r>
      <w:bookmarkEnd w:id="0"/>
      <w:r w:rsidRPr="00682B3B">
        <w:rPr>
          <w:rFonts w:eastAsia="Times New Roman" w:cs="Open Sans"/>
          <w:szCs w:val="20"/>
          <w:lang w:eastAsia="en-GB"/>
        </w:rPr>
        <w:t>the "Company")</w:t>
      </w:r>
    </w:p>
    <w:p w14:paraId="7A406255" w14:textId="77777777" w:rsidR="00A533CA" w:rsidRPr="00682B3B" w:rsidRDefault="00A533CA" w:rsidP="00A533CA">
      <w:pPr>
        <w:shd w:val="clear" w:color="auto" w:fill="FFFFFF"/>
        <w:spacing w:before="100" w:beforeAutospacing="1" w:after="100" w:afterAutospacing="1" w:line="240" w:lineRule="auto"/>
        <w:rPr>
          <w:rFonts w:eastAsia="Times New Roman" w:cs="Open Sans"/>
          <w:szCs w:val="20"/>
          <w:lang w:eastAsia="en-GB"/>
        </w:rPr>
      </w:pPr>
      <w:r w:rsidRPr="00682B3B">
        <w:rPr>
          <w:rFonts w:eastAsia="Times New Roman" w:cs="Open Sans"/>
          <w:szCs w:val="20"/>
          <w:lang w:eastAsia="en-GB"/>
        </w:rPr>
        <w:t> </w:t>
      </w:r>
    </w:p>
    <w:p w14:paraId="53E38764" w14:textId="257A48B6" w:rsidR="00A533CA" w:rsidRPr="00682B3B" w:rsidRDefault="006114DB" w:rsidP="006114DB">
      <w:pPr>
        <w:shd w:val="clear" w:color="auto" w:fill="FFFFFF"/>
        <w:spacing w:after="0" w:line="240" w:lineRule="auto"/>
        <w:jc w:val="center"/>
        <w:rPr>
          <w:rFonts w:eastAsia="Times New Roman" w:cs="Open Sans"/>
          <w:i/>
          <w:iCs/>
          <w:szCs w:val="20"/>
          <w:lang w:eastAsia="en-GB"/>
        </w:rPr>
      </w:pPr>
      <w:r>
        <w:rPr>
          <w:rFonts w:eastAsia="Times New Roman" w:cs="Open Sans"/>
          <w:b/>
          <w:bCs/>
          <w:szCs w:val="20"/>
          <w:lang w:eastAsia="en-GB"/>
        </w:rPr>
        <w:t>Total Voting Rights</w:t>
      </w:r>
    </w:p>
    <w:p w14:paraId="5ACDF326" w14:textId="11818101" w:rsidR="00A533CA" w:rsidRPr="00682B3B" w:rsidRDefault="00A533CA" w:rsidP="00A533CA">
      <w:pPr>
        <w:shd w:val="clear" w:color="auto" w:fill="FFFFFF"/>
        <w:spacing w:before="100" w:beforeAutospacing="1" w:after="100" w:afterAutospacing="1" w:line="240" w:lineRule="auto"/>
        <w:rPr>
          <w:rFonts w:eastAsia="Times New Roman" w:cs="Open Sans"/>
          <w:szCs w:val="20"/>
          <w:lang w:eastAsia="en-GB"/>
        </w:rPr>
      </w:pPr>
    </w:p>
    <w:p w14:paraId="1EA6195A" w14:textId="629F41CB" w:rsidR="00690A29" w:rsidRPr="004742AD" w:rsidRDefault="006114DB" w:rsidP="00F14CC6">
      <w:pPr>
        <w:pStyle w:val="cf"/>
        <w:spacing w:after="0"/>
        <w:jc w:val="both"/>
        <w:rPr>
          <w:rFonts w:ascii="Open Sans" w:hAnsi="Open Sans" w:cs="Open Sans"/>
          <w:color w:val="111111"/>
          <w:sz w:val="20"/>
          <w:szCs w:val="20"/>
        </w:rPr>
      </w:pPr>
      <w:r w:rsidRPr="004742AD">
        <w:rPr>
          <w:rFonts w:ascii="Open Sans" w:hAnsi="Open Sans" w:cs="Open Sans"/>
          <w:color w:val="111111"/>
          <w:sz w:val="20"/>
          <w:szCs w:val="20"/>
        </w:rPr>
        <w:t xml:space="preserve">Hemogenyx Pharmaceuticals plc (LSE: HEMO), the biopharmaceutical group developing new therapies and treatments for blood diseases, announces that the total issued share capital of the Company as at </w:t>
      </w:r>
      <w:r w:rsidR="009B4685">
        <w:rPr>
          <w:rFonts w:ascii="Open Sans" w:hAnsi="Open Sans" w:cs="Open Sans"/>
          <w:color w:val="111111"/>
          <w:sz w:val="20"/>
          <w:szCs w:val="20"/>
        </w:rPr>
        <w:t>31 July 2025</w:t>
      </w:r>
      <w:r w:rsidRPr="004742AD">
        <w:rPr>
          <w:rFonts w:ascii="Open Sans" w:hAnsi="Open Sans" w:cs="Open Sans"/>
          <w:color w:val="111111"/>
          <w:sz w:val="20"/>
          <w:szCs w:val="20"/>
        </w:rPr>
        <w:t xml:space="preserve"> consists of </w:t>
      </w:r>
      <w:r w:rsidR="001428A1" w:rsidRPr="00F960F9">
        <w:rPr>
          <w:rFonts w:ascii="Open Sans" w:hAnsi="Open Sans" w:cs="Open Sans"/>
          <w:color w:val="000000" w:themeColor="text1"/>
          <w:sz w:val="20"/>
          <w:szCs w:val="20"/>
        </w:rPr>
        <w:t>4,727,229</w:t>
      </w:r>
      <w:r w:rsidR="00040881">
        <w:rPr>
          <w:rFonts w:ascii="Open Sans" w:hAnsi="Open Sans" w:cs="Open Sans"/>
          <w:color w:val="111111"/>
          <w:sz w:val="20"/>
          <w:szCs w:val="20"/>
        </w:rPr>
        <w:t xml:space="preserve"> </w:t>
      </w:r>
      <w:r w:rsidRPr="004742AD">
        <w:rPr>
          <w:rFonts w:ascii="Open Sans" w:hAnsi="Open Sans" w:cs="Open Sans"/>
          <w:color w:val="111111"/>
          <w:sz w:val="20"/>
          <w:szCs w:val="20"/>
        </w:rPr>
        <w:t xml:space="preserve">ordinary shares of </w:t>
      </w:r>
      <w:r w:rsidR="00040881">
        <w:rPr>
          <w:rFonts w:ascii="Open Sans" w:hAnsi="Open Sans" w:cs="Open Sans"/>
          <w:color w:val="111111"/>
          <w:sz w:val="20"/>
          <w:szCs w:val="20"/>
        </w:rPr>
        <w:t>1p</w:t>
      </w:r>
      <w:r w:rsidRPr="004742AD">
        <w:rPr>
          <w:rFonts w:ascii="Open Sans" w:hAnsi="Open Sans" w:cs="Open Sans"/>
          <w:color w:val="111111"/>
          <w:sz w:val="20"/>
          <w:szCs w:val="20"/>
        </w:rPr>
        <w:t xml:space="preserve"> each, none of which are held in treasury. Therefore, the total number of voting rights in the Company is</w:t>
      </w:r>
      <w:r>
        <w:rPr>
          <w:rFonts w:ascii="Open Sans" w:hAnsi="Open Sans" w:cs="Open Sans"/>
          <w:color w:val="111111"/>
          <w:sz w:val="20"/>
          <w:szCs w:val="20"/>
        </w:rPr>
        <w:t xml:space="preserve"> </w:t>
      </w:r>
      <w:r w:rsidR="001428A1" w:rsidRPr="00F960F9">
        <w:rPr>
          <w:rFonts w:ascii="Open Sans" w:hAnsi="Open Sans" w:cs="Open Sans"/>
          <w:color w:val="000000" w:themeColor="text1"/>
          <w:sz w:val="20"/>
          <w:szCs w:val="20"/>
        </w:rPr>
        <w:t>4,727,229</w:t>
      </w:r>
      <w:r w:rsidRPr="004742AD">
        <w:rPr>
          <w:rFonts w:ascii="Open Sans" w:hAnsi="Open Sans" w:cs="Open Sans"/>
          <w:color w:val="111111"/>
          <w:sz w:val="20"/>
          <w:szCs w:val="20"/>
        </w:rPr>
        <w:t>.</w:t>
      </w:r>
    </w:p>
    <w:p w14:paraId="35CFFB2A" w14:textId="0DBED371" w:rsidR="006114DB" w:rsidRDefault="006114DB" w:rsidP="006114DB">
      <w:pPr>
        <w:pStyle w:val="cf"/>
        <w:spacing w:before="0" w:beforeAutospacing="0" w:after="0" w:afterAutospacing="0"/>
        <w:jc w:val="both"/>
        <w:rPr>
          <w:rFonts w:ascii="Open Sans" w:hAnsi="Open Sans" w:cs="Open Sans"/>
          <w:color w:val="111111"/>
          <w:sz w:val="20"/>
          <w:szCs w:val="20"/>
        </w:rPr>
      </w:pPr>
      <w:r w:rsidRPr="004742AD">
        <w:rPr>
          <w:rFonts w:ascii="Open Sans" w:hAnsi="Open Sans" w:cs="Open Sans"/>
          <w:color w:val="111111"/>
          <w:sz w:val="20"/>
          <w:szCs w:val="20"/>
        </w:rPr>
        <w:t xml:space="preserve">The figure of </w:t>
      </w:r>
      <w:r w:rsidR="001428A1" w:rsidRPr="00F960F9">
        <w:rPr>
          <w:rFonts w:ascii="Open Sans" w:hAnsi="Open Sans" w:cs="Open Sans"/>
          <w:color w:val="000000" w:themeColor="text1"/>
          <w:sz w:val="20"/>
          <w:szCs w:val="20"/>
        </w:rPr>
        <w:t>4,727,229</w:t>
      </w:r>
      <w:r w:rsidR="00C77CE4">
        <w:rPr>
          <w:rFonts w:ascii="Open Sans" w:hAnsi="Open Sans" w:cs="Open Sans"/>
          <w:color w:val="111111"/>
          <w:sz w:val="20"/>
          <w:szCs w:val="20"/>
        </w:rPr>
        <w:t xml:space="preserve"> </w:t>
      </w:r>
      <w:r w:rsidRPr="004742AD">
        <w:rPr>
          <w:rFonts w:ascii="Open Sans" w:hAnsi="Open Sans" w:cs="Open Sans"/>
          <w:color w:val="111111"/>
          <w:sz w:val="20"/>
          <w:szCs w:val="20"/>
        </w:rPr>
        <w:t>ordinary shares may be used by shareholders of the Company as the denominator for the calculations by which they will determine if they are required to notify their investment in, or a change in their interest in, the share capital of the Company under the Financial Conduct Authority's Disclosure Guidance and Transparency Rules.</w:t>
      </w:r>
    </w:p>
    <w:p w14:paraId="107C36FE" w14:textId="77777777" w:rsidR="00C77CE4" w:rsidRPr="008F717D" w:rsidRDefault="00C77CE4" w:rsidP="006114DB">
      <w:pPr>
        <w:pStyle w:val="cf"/>
        <w:spacing w:before="0" w:beforeAutospacing="0" w:after="0" w:afterAutospacing="0"/>
        <w:jc w:val="both"/>
        <w:rPr>
          <w:rFonts w:ascii="Open Sans" w:hAnsi="Open Sans" w:cs="Open Sans"/>
          <w:color w:val="111111"/>
          <w:sz w:val="20"/>
          <w:szCs w:val="20"/>
        </w:rPr>
      </w:pPr>
    </w:p>
    <w:p w14:paraId="7762BCAD" w14:textId="49D78847" w:rsidR="000273A6" w:rsidRDefault="000273A6">
      <w:pPr>
        <w:spacing w:after="160"/>
        <w:rPr>
          <w:rFonts w:eastAsia="Times New Roman" w:cs="Open Sans"/>
          <w:b/>
          <w:bCs/>
          <w:szCs w:val="20"/>
          <w:lang w:eastAsia="en-GB"/>
        </w:rPr>
      </w:pPr>
    </w:p>
    <w:p w14:paraId="62124918" w14:textId="77777777" w:rsidR="00040881" w:rsidRPr="009C5EE4" w:rsidRDefault="00040881" w:rsidP="00040881">
      <w:pPr>
        <w:shd w:val="clear" w:color="auto" w:fill="FFFFFF" w:themeFill="background1"/>
        <w:jc w:val="both"/>
        <w:rPr>
          <w:rFonts w:eastAsia="Open Sans" w:cs="Open Sans"/>
          <w:b/>
          <w:bCs/>
          <w:sz w:val="18"/>
          <w:szCs w:val="18"/>
        </w:rPr>
      </w:pPr>
      <w:r w:rsidRPr="009C5EE4">
        <w:rPr>
          <w:rStyle w:val="Strong"/>
          <w:rFonts w:eastAsia="Open Sans" w:cs="Open Sans"/>
          <w:sz w:val="18"/>
          <w:szCs w:val="18"/>
        </w:rPr>
        <w:t>Enquiries:</w:t>
      </w:r>
    </w:p>
    <w:tbl>
      <w:tblPr>
        <w:tblW w:w="5000" w:type="pct"/>
        <w:shd w:val="clear" w:color="auto" w:fill="FFFFFF"/>
        <w:tblCellMar>
          <w:left w:w="0" w:type="dxa"/>
          <w:right w:w="0" w:type="dxa"/>
        </w:tblCellMar>
        <w:tblLook w:val="04A0" w:firstRow="1" w:lastRow="0" w:firstColumn="1" w:lastColumn="0" w:noHBand="0" w:noVBand="1"/>
      </w:tblPr>
      <w:tblGrid>
        <w:gridCol w:w="5673"/>
        <w:gridCol w:w="3353"/>
      </w:tblGrid>
      <w:tr w:rsidR="00040881" w:rsidRPr="00464A21" w14:paraId="6F6B67F0" w14:textId="77777777" w:rsidTr="00332463">
        <w:trPr>
          <w:trHeight w:val="465"/>
        </w:trPr>
        <w:tc>
          <w:tcPr>
            <w:tcW w:w="0" w:type="auto"/>
            <w:shd w:val="clear" w:color="auto" w:fill="FFFFFF" w:themeFill="background1"/>
            <w:tcMar>
              <w:top w:w="45" w:type="dxa"/>
              <w:left w:w="45" w:type="dxa"/>
              <w:bottom w:w="45" w:type="dxa"/>
              <w:right w:w="45" w:type="dxa"/>
            </w:tcMar>
            <w:vAlign w:val="center"/>
            <w:hideMark/>
          </w:tcPr>
          <w:p w14:paraId="728B1287" w14:textId="77777777" w:rsidR="00040881" w:rsidRPr="009C5EE4" w:rsidRDefault="00040881" w:rsidP="00332463">
            <w:pPr>
              <w:jc w:val="both"/>
              <w:rPr>
                <w:rFonts w:eastAsia="Open Sans" w:cs="Open Sans"/>
                <w:b/>
                <w:bCs/>
                <w:sz w:val="18"/>
                <w:szCs w:val="18"/>
              </w:rPr>
            </w:pPr>
            <w:r w:rsidRPr="009C5EE4">
              <w:rPr>
                <w:rStyle w:val="Strong"/>
                <w:rFonts w:eastAsia="Open Sans" w:cs="Open Sans"/>
                <w:sz w:val="18"/>
                <w:szCs w:val="18"/>
              </w:rPr>
              <w:t>Hemogenyx Pharmaceuticals plc</w:t>
            </w:r>
          </w:p>
        </w:tc>
        <w:tc>
          <w:tcPr>
            <w:tcW w:w="0" w:type="auto"/>
            <w:shd w:val="clear" w:color="auto" w:fill="FFFFFF" w:themeFill="background1"/>
            <w:tcMar>
              <w:top w:w="45" w:type="dxa"/>
              <w:left w:w="45" w:type="dxa"/>
              <w:bottom w:w="45" w:type="dxa"/>
              <w:right w:w="45" w:type="dxa"/>
            </w:tcMar>
            <w:vAlign w:val="center"/>
            <w:hideMark/>
          </w:tcPr>
          <w:p w14:paraId="5C52CC10" w14:textId="77777777" w:rsidR="00040881" w:rsidRPr="009C5EE4" w:rsidRDefault="00040881" w:rsidP="00332463">
            <w:pPr>
              <w:jc w:val="both"/>
              <w:rPr>
                <w:rFonts w:eastAsia="Open Sans" w:cs="Open Sans"/>
                <w:sz w:val="18"/>
                <w:szCs w:val="18"/>
              </w:rPr>
            </w:pPr>
            <w:hyperlink r:id="rId9">
              <w:r w:rsidRPr="009C5EE4">
                <w:rPr>
                  <w:rStyle w:val="Hyperlink"/>
                  <w:rFonts w:eastAsia="Open Sans" w:cs="Open Sans"/>
                  <w:sz w:val="18"/>
                  <w:szCs w:val="18"/>
                </w:rPr>
                <w:t>https://hemogenyx.com</w:t>
              </w:r>
            </w:hyperlink>
          </w:p>
        </w:tc>
      </w:tr>
      <w:tr w:rsidR="00040881" w:rsidRPr="00464A21" w14:paraId="5E6E9EDB" w14:textId="77777777" w:rsidTr="00332463">
        <w:trPr>
          <w:trHeight w:val="465"/>
        </w:trPr>
        <w:tc>
          <w:tcPr>
            <w:tcW w:w="0" w:type="auto"/>
            <w:shd w:val="clear" w:color="auto" w:fill="FFFFFF" w:themeFill="background1"/>
            <w:tcMar>
              <w:top w:w="45" w:type="dxa"/>
              <w:left w:w="45" w:type="dxa"/>
              <w:bottom w:w="45" w:type="dxa"/>
              <w:right w:w="45" w:type="dxa"/>
            </w:tcMar>
            <w:vAlign w:val="center"/>
            <w:hideMark/>
          </w:tcPr>
          <w:p w14:paraId="067F5222" w14:textId="77777777" w:rsidR="00040881" w:rsidRPr="009C5EE4" w:rsidRDefault="00040881" w:rsidP="00332463">
            <w:pPr>
              <w:jc w:val="both"/>
              <w:rPr>
                <w:rFonts w:eastAsia="Open Sans" w:cs="Open Sans"/>
                <w:sz w:val="18"/>
                <w:szCs w:val="18"/>
              </w:rPr>
            </w:pPr>
            <w:r w:rsidRPr="009C5EE4">
              <w:rPr>
                <w:rFonts w:eastAsia="Open Sans" w:cs="Open Sans"/>
                <w:sz w:val="18"/>
                <w:szCs w:val="18"/>
              </w:rPr>
              <w:t>Dr Vladislav Sandler, Chief Executive Officer &amp; Co-Founder</w:t>
            </w:r>
          </w:p>
        </w:tc>
        <w:tc>
          <w:tcPr>
            <w:tcW w:w="0" w:type="auto"/>
            <w:shd w:val="clear" w:color="auto" w:fill="FFFFFF" w:themeFill="background1"/>
            <w:tcMar>
              <w:top w:w="45" w:type="dxa"/>
              <w:left w:w="45" w:type="dxa"/>
              <w:bottom w:w="45" w:type="dxa"/>
              <w:right w:w="45" w:type="dxa"/>
            </w:tcMar>
            <w:vAlign w:val="center"/>
            <w:hideMark/>
          </w:tcPr>
          <w:p w14:paraId="5D7EA436" w14:textId="77777777" w:rsidR="00040881" w:rsidRPr="009C5EE4" w:rsidRDefault="00040881" w:rsidP="00332463">
            <w:pPr>
              <w:jc w:val="both"/>
              <w:rPr>
                <w:rFonts w:eastAsia="Open Sans" w:cs="Open Sans"/>
                <w:sz w:val="18"/>
                <w:szCs w:val="18"/>
              </w:rPr>
            </w:pPr>
            <w:hyperlink r:id="rId10">
              <w:r w:rsidRPr="009C5EE4">
                <w:rPr>
                  <w:rStyle w:val="Hyperlink"/>
                  <w:rFonts w:eastAsia="Open Sans" w:cs="Open Sans"/>
                  <w:sz w:val="18"/>
                  <w:szCs w:val="18"/>
                </w:rPr>
                <w:t>headquarters@hemogenyx.com</w:t>
              </w:r>
            </w:hyperlink>
          </w:p>
        </w:tc>
      </w:tr>
      <w:tr w:rsidR="00040881" w:rsidRPr="00464A21" w14:paraId="6016739F" w14:textId="77777777" w:rsidTr="00332463">
        <w:trPr>
          <w:trHeight w:val="465"/>
        </w:trPr>
        <w:tc>
          <w:tcPr>
            <w:tcW w:w="0" w:type="auto"/>
            <w:shd w:val="clear" w:color="auto" w:fill="FFFFFF" w:themeFill="background1"/>
            <w:tcMar>
              <w:top w:w="45" w:type="dxa"/>
              <w:left w:w="45" w:type="dxa"/>
              <w:bottom w:w="45" w:type="dxa"/>
              <w:right w:w="45" w:type="dxa"/>
            </w:tcMar>
            <w:vAlign w:val="center"/>
            <w:hideMark/>
          </w:tcPr>
          <w:p w14:paraId="54D11F55" w14:textId="77777777" w:rsidR="00040881" w:rsidRPr="009C5EE4" w:rsidRDefault="00040881" w:rsidP="00332463">
            <w:pPr>
              <w:jc w:val="both"/>
              <w:rPr>
                <w:rFonts w:eastAsia="Open Sans" w:cs="Open Sans"/>
                <w:sz w:val="18"/>
                <w:szCs w:val="18"/>
              </w:rPr>
            </w:pPr>
            <w:r w:rsidRPr="009C5EE4">
              <w:rPr>
                <w:rFonts w:eastAsia="Open Sans" w:cs="Open Sans"/>
                <w:sz w:val="18"/>
                <w:szCs w:val="18"/>
              </w:rPr>
              <w:t>Peter Redmond, Director</w:t>
            </w:r>
          </w:p>
        </w:tc>
        <w:tc>
          <w:tcPr>
            <w:tcW w:w="0" w:type="auto"/>
            <w:shd w:val="clear" w:color="auto" w:fill="FFFFFF" w:themeFill="background1"/>
            <w:tcMar>
              <w:top w:w="45" w:type="dxa"/>
              <w:left w:w="45" w:type="dxa"/>
              <w:bottom w:w="45" w:type="dxa"/>
              <w:right w:w="45" w:type="dxa"/>
            </w:tcMar>
            <w:vAlign w:val="center"/>
            <w:hideMark/>
          </w:tcPr>
          <w:p w14:paraId="75ABEFAB" w14:textId="77777777" w:rsidR="00040881" w:rsidRPr="009C5EE4" w:rsidRDefault="00040881" w:rsidP="00332463">
            <w:pPr>
              <w:jc w:val="both"/>
              <w:rPr>
                <w:rFonts w:eastAsia="Open Sans" w:cs="Open Sans"/>
                <w:sz w:val="18"/>
                <w:szCs w:val="18"/>
              </w:rPr>
            </w:pPr>
            <w:hyperlink r:id="rId11">
              <w:r w:rsidRPr="009C5EE4">
                <w:rPr>
                  <w:rStyle w:val="Hyperlink"/>
                  <w:rFonts w:eastAsia="Open Sans" w:cs="Open Sans"/>
                  <w:sz w:val="18"/>
                  <w:szCs w:val="18"/>
                </w:rPr>
                <w:t>peter.redmond@hemogenyx.com</w:t>
              </w:r>
            </w:hyperlink>
          </w:p>
        </w:tc>
      </w:tr>
      <w:tr w:rsidR="00040881" w:rsidRPr="00464A21" w14:paraId="2D96FEED" w14:textId="77777777" w:rsidTr="00332463">
        <w:trPr>
          <w:trHeight w:val="465"/>
        </w:trPr>
        <w:tc>
          <w:tcPr>
            <w:tcW w:w="0" w:type="auto"/>
            <w:shd w:val="clear" w:color="auto" w:fill="FFFFFF" w:themeFill="background1"/>
            <w:tcMar>
              <w:top w:w="45" w:type="dxa"/>
              <w:left w:w="45" w:type="dxa"/>
              <w:bottom w:w="45" w:type="dxa"/>
              <w:right w:w="45" w:type="dxa"/>
            </w:tcMar>
            <w:vAlign w:val="center"/>
            <w:hideMark/>
          </w:tcPr>
          <w:p w14:paraId="585E8861" w14:textId="77777777" w:rsidR="00040881" w:rsidRPr="009C5EE4" w:rsidRDefault="00040881" w:rsidP="00332463">
            <w:pPr>
              <w:jc w:val="both"/>
              <w:rPr>
                <w:rFonts w:eastAsia="Open Sans" w:cs="Open Sans"/>
                <w:b/>
                <w:bCs/>
                <w:sz w:val="18"/>
                <w:szCs w:val="18"/>
              </w:rPr>
            </w:pPr>
            <w:r w:rsidRPr="009C5EE4">
              <w:rPr>
                <w:rStyle w:val="Strong"/>
                <w:rFonts w:eastAsia="Open Sans" w:cs="Open Sans"/>
                <w:sz w:val="18"/>
                <w:szCs w:val="18"/>
              </w:rPr>
              <w:t>SP Angel Corporate Finance LLP</w:t>
            </w:r>
          </w:p>
        </w:tc>
        <w:tc>
          <w:tcPr>
            <w:tcW w:w="0" w:type="auto"/>
            <w:shd w:val="clear" w:color="auto" w:fill="FFFFFF" w:themeFill="background1"/>
            <w:tcMar>
              <w:top w:w="45" w:type="dxa"/>
              <w:left w:w="45" w:type="dxa"/>
              <w:bottom w:w="45" w:type="dxa"/>
              <w:right w:w="45" w:type="dxa"/>
            </w:tcMar>
            <w:vAlign w:val="center"/>
            <w:hideMark/>
          </w:tcPr>
          <w:p w14:paraId="3DA2E77A" w14:textId="77777777" w:rsidR="00040881" w:rsidRPr="009C5EE4" w:rsidRDefault="00040881" w:rsidP="00332463">
            <w:pPr>
              <w:jc w:val="both"/>
              <w:rPr>
                <w:rFonts w:eastAsia="Open Sans" w:cs="Open Sans"/>
                <w:sz w:val="18"/>
                <w:szCs w:val="18"/>
              </w:rPr>
            </w:pPr>
            <w:r w:rsidRPr="009C5EE4">
              <w:rPr>
                <w:rFonts w:eastAsia="Open Sans" w:cs="Open Sans"/>
                <w:sz w:val="18"/>
                <w:szCs w:val="18"/>
              </w:rPr>
              <w:t>Tel: +44 (0)20 3470 0470</w:t>
            </w:r>
          </w:p>
        </w:tc>
      </w:tr>
      <w:tr w:rsidR="00040881" w:rsidRPr="00464A21" w14:paraId="0E8FFEE1" w14:textId="77777777" w:rsidTr="00332463">
        <w:trPr>
          <w:trHeight w:val="465"/>
        </w:trPr>
        <w:tc>
          <w:tcPr>
            <w:tcW w:w="0" w:type="auto"/>
            <w:shd w:val="clear" w:color="auto" w:fill="FFFFFF" w:themeFill="background1"/>
            <w:tcMar>
              <w:top w:w="45" w:type="dxa"/>
              <w:left w:w="45" w:type="dxa"/>
              <w:bottom w:w="45" w:type="dxa"/>
              <w:right w:w="45" w:type="dxa"/>
            </w:tcMar>
            <w:vAlign w:val="center"/>
            <w:hideMark/>
          </w:tcPr>
          <w:p w14:paraId="14BE8824" w14:textId="77777777" w:rsidR="00040881" w:rsidRPr="009C5EE4" w:rsidRDefault="00040881" w:rsidP="00332463">
            <w:pPr>
              <w:jc w:val="both"/>
              <w:rPr>
                <w:rFonts w:eastAsia="Open Sans" w:cs="Open Sans"/>
                <w:sz w:val="18"/>
                <w:szCs w:val="18"/>
              </w:rPr>
            </w:pPr>
            <w:r w:rsidRPr="009C5EE4">
              <w:rPr>
                <w:rFonts w:eastAsia="Open Sans" w:cs="Open Sans"/>
                <w:sz w:val="18"/>
                <w:szCs w:val="18"/>
              </w:rPr>
              <w:t>Matthew Johnson, Vadim Alexandre, Adam Cowl</w:t>
            </w:r>
          </w:p>
        </w:tc>
        <w:tc>
          <w:tcPr>
            <w:tcW w:w="0" w:type="auto"/>
            <w:shd w:val="clear" w:color="auto" w:fill="FFFFFF" w:themeFill="background1"/>
            <w:vAlign w:val="center"/>
            <w:hideMark/>
          </w:tcPr>
          <w:p w14:paraId="6C798FD6" w14:textId="77777777" w:rsidR="00040881" w:rsidRPr="009C5EE4" w:rsidRDefault="00040881" w:rsidP="00332463">
            <w:pPr>
              <w:jc w:val="both"/>
              <w:rPr>
                <w:rFonts w:eastAsia="Open Sans" w:cs="Open Sans"/>
                <w:sz w:val="18"/>
                <w:szCs w:val="18"/>
              </w:rPr>
            </w:pPr>
          </w:p>
        </w:tc>
      </w:tr>
      <w:tr w:rsidR="00040881" w:rsidRPr="00464A21" w14:paraId="5FB7D7AF" w14:textId="77777777" w:rsidTr="00332463">
        <w:trPr>
          <w:trHeight w:val="465"/>
        </w:trPr>
        <w:tc>
          <w:tcPr>
            <w:tcW w:w="0" w:type="auto"/>
            <w:shd w:val="clear" w:color="auto" w:fill="FFFFFF" w:themeFill="background1"/>
            <w:tcMar>
              <w:top w:w="45" w:type="dxa"/>
              <w:left w:w="45" w:type="dxa"/>
              <w:bottom w:w="45" w:type="dxa"/>
              <w:right w:w="45" w:type="dxa"/>
            </w:tcMar>
            <w:vAlign w:val="center"/>
            <w:hideMark/>
          </w:tcPr>
          <w:p w14:paraId="4531B436" w14:textId="77777777" w:rsidR="00040881" w:rsidRPr="009C5EE4" w:rsidRDefault="00040881" w:rsidP="00332463">
            <w:pPr>
              <w:jc w:val="both"/>
              <w:rPr>
                <w:rFonts w:eastAsia="Open Sans" w:cs="Open Sans"/>
                <w:b/>
                <w:bCs/>
                <w:sz w:val="18"/>
                <w:szCs w:val="18"/>
              </w:rPr>
            </w:pPr>
            <w:r w:rsidRPr="009C5EE4">
              <w:rPr>
                <w:rStyle w:val="Strong"/>
                <w:rFonts w:eastAsia="Open Sans" w:cs="Open Sans"/>
                <w:sz w:val="18"/>
                <w:szCs w:val="18"/>
              </w:rPr>
              <w:t>Peterhouse Capital Limited</w:t>
            </w:r>
          </w:p>
        </w:tc>
        <w:tc>
          <w:tcPr>
            <w:tcW w:w="0" w:type="auto"/>
            <w:shd w:val="clear" w:color="auto" w:fill="FFFFFF" w:themeFill="background1"/>
            <w:tcMar>
              <w:top w:w="45" w:type="dxa"/>
              <w:left w:w="45" w:type="dxa"/>
              <w:bottom w:w="45" w:type="dxa"/>
              <w:right w:w="45" w:type="dxa"/>
            </w:tcMar>
            <w:vAlign w:val="center"/>
            <w:hideMark/>
          </w:tcPr>
          <w:p w14:paraId="1EDB577B" w14:textId="77777777" w:rsidR="00040881" w:rsidRPr="009C5EE4" w:rsidRDefault="00040881" w:rsidP="00332463">
            <w:pPr>
              <w:jc w:val="both"/>
              <w:rPr>
                <w:rFonts w:eastAsia="Open Sans" w:cs="Open Sans"/>
                <w:sz w:val="18"/>
                <w:szCs w:val="18"/>
              </w:rPr>
            </w:pPr>
            <w:r w:rsidRPr="009C5EE4">
              <w:rPr>
                <w:rFonts w:eastAsia="Open Sans" w:cs="Open Sans"/>
                <w:sz w:val="18"/>
                <w:szCs w:val="18"/>
              </w:rPr>
              <w:t>Tel: +44 (0)20 7469 0930</w:t>
            </w:r>
          </w:p>
        </w:tc>
      </w:tr>
      <w:tr w:rsidR="00040881" w:rsidRPr="00464A21" w14:paraId="24DDDD2F" w14:textId="77777777" w:rsidTr="00332463">
        <w:trPr>
          <w:trHeight w:val="465"/>
        </w:trPr>
        <w:tc>
          <w:tcPr>
            <w:tcW w:w="0" w:type="auto"/>
            <w:shd w:val="clear" w:color="auto" w:fill="FFFFFF" w:themeFill="background1"/>
            <w:tcMar>
              <w:top w:w="45" w:type="dxa"/>
              <w:left w:w="45" w:type="dxa"/>
              <w:bottom w:w="45" w:type="dxa"/>
              <w:right w:w="45" w:type="dxa"/>
            </w:tcMar>
            <w:vAlign w:val="center"/>
            <w:hideMark/>
          </w:tcPr>
          <w:p w14:paraId="2ADA31C9" w14:textId="77777777" w:rsidR="00040881" w:rsidRPr="009C5EE4" w:rsidRDefault="00040881" w:rsidP="00332463">
            <w:pPr>
              <w:jc w:val="both"/>
              <w:rPr>
                <w:rFonts w:eastAsia="Open Sans" w:cs="Open Sans"/>
                <w:sz w:val="18"/>
                <w:szCs w:val="18"/>
              </w:rPr>
            </w:pPr>
            <w:r w:rsidRPr="009C5EE4">
              <w:rPr>
                <w:rFonts w:eastAsia="Open Sans" w:cs="Open Sans"/>
                <w:sz w:val="18"/>
                <w:szCs w:val="18"/>
              </w:rPr>
              <w:t>Lucy Williams, Duncan Vasey, Charles Goodfellow</w:t>
            </w:r>
          </w:p>
        </w:tc>
        <w:tc>
          <w:tcPr>
            <w:tcW w:w="0" w:type="auto"/>
            <w:shd w:val="clear" w:color="auto" w:fill="FFFFFF" w:themeFill="background1"/>
            <w:vAlign w:val="center"/>
            <w:hideMark/>
          </w:tcPr>
          <w:p w14:paraId="0FB4C45D" w14:textId="77777777" w:rsidR="00040881" w:rsidRPr="009C5EE4" w:rsidRDefault="00040881" w:rsidP="00332463">
            <w:pPr>
              <w:jc w:val="both"/>
              <w:rPr>
                <w:rFonts w:eastAsia="Open Sans" w:cs="Open Sans"/>
                <w:sz w:val="18"/>
                <w:szCs w:val="18"/>
              </w:rPr>
            </w:pPr>
          </w:p>
        </w:tc>
      </w:tr>
    </w:tbl>
    <w:p w14:paraId="6E7B0CCB" w14:textId="77777777" w:rsidR="00040881" w:rsidRPr="009C5EE4" w:rsidRDefault="00040881" w:rsidP="00040881">
      <w:pPr>
        <w:pStyle w:val="bz"/>
        <w:shd w:val="clear" w:color="auto" w:fill="FFFFFF" w:themeFill="background1"/>
        <w:spacing w:before="198" w:after="198"/>
        <w:jc w:val="both"/>
        <w:rPr>
          <w:rFonts w:ascii="Open Sans" w:eastAsia="Open Sans" w:hAnsi="Open Sans" w:cs="Open Sans"/>
          <w:color w:val="000000" w:themeColor="text1"/>
          <w:sz w:val="18"/>
          <w:szCs w:val="18"/>
          <w:u w:val="single"/>
        </w:rPr>
      </w:pPr>
    </w:p>
    <w:p w14:paraId="01A6B4D9" w14:textId="77777777" w:rsidR="00040881" w:rsidRPr="009C5EE4" w:rsidRDefault="00040881" w:rsidP="00040881">
      <w:pPr>
        <w:pStyle w:val="bz"/>
        <w:shd w:val="clear" w:color="auto" w:fill="FFFFFF" w:themeFill="background1"/>
        <w:spacing w:before="198" w:after="198"/>
        <w:jc w:val="both"/>
        <w:rPr>
          <w:rFonts w:ascii="Open Sans" w:eastAsia="Open Sans" w:hAnsi="Open Sans" w:cs="Open Sans"/>
          <w:b/>
          <w:bCs/>
          <w:color w:val="000000"/>
          <w:sz w:val="18"/>
          <w:szCs w:val="18"/>
        </w:rPr>
      </w:pPr>
      <w:r w:rsidRPr="009C5EE4">
        <w:rPr>
          <w:rFonts w:ascii="Open Sans" w:eastAsia="Open Sans" w:hAnsi="Open Sans" w:cs="Open Sans"/>
          <w:b/>
          <w:bCs/>
          <w:color w:val="000000" w:themeColor="text1"/>
          <w:sz w:val="18"/>
          <w:szCs w:val="18"/>
          <w:u w:val="single"/>
        </w:rPr>
        <w:t>About Hemogenyx Pharmaceuticals plc</w:t>
      </w:r>
    </w:p>
    <w:p w14:paraId="737487ED" w14:textId="2B61C345" w:rsidR="00040881" w:rsidRPr="009C5EE4" w:rsidRDefault="00040881" w:rsidP="00040881">
      <w:pPr>
        <w:shd w:val="clear" w:color="auto" w:fill="FFFFFF" w:themeFill="background1"/>
        <w:jc w:val="both"/>
        <w:rPr>
          <w:rFonts w:eastAsia="Open Sans" w:cs="Open Sans"/>
          <w:color w:val="000000"/>
          <w:sz w:val="18"/>
          <w:szCs w:val="18"/>
        </w:rPr>
      </w:pPr>
      <w:r w:rsidRPr="009C5EE4">
        <w:rPr>
          <w:rFonts w:eastAsia="Open Sans" w:cs="Open Sans"/>
          <w:color w:val="000000" w:themeColor="text1"/>
          <w:sz w:val="18"/>
          <w:szCs w:val="18"/>
        </w:rPr>
        <w:t>Hemogenyx Pharmaceuticals is a publicly traded company (LSE: HEMO) headquartered in</w:t>
      </w:r>
      <w:r w:rsidRPr="009C5EE4">
        <w:rPr>
          <w:rStyle w:val="contentpasted0"/>
          <w:rFonts w:eastAsia="Open Sans" w:cs="Open Sans"/>
          <w:color w:val="000000" w:themeColor="text1"/>
          <w:sz w:val="18"/>
          <w:szCs w:val="18"/>
        </w:rPr>
        <w:t> London</w:t>
      </w:r>
      <w:r w:rsidRPr="009C5EE4">
        <w:rPr>
          <w:rFonts w:eastAsia="Open Sans" w:cs="Open Sans"/>
          <w:color w:val="000000" w:themeColor="text1"/>
          <w:sz w:val="18"/>
          <w:szCs w:val="18"/>
        </w:rPr>
        <w:t>, with its US operating subsidiaries, Hemogenyx Pharmaceuticals LLC and Immugenyx LLC, located in</w:t>
      </w:r>
      <w:r w:rsidRPr="009C5EE4">
        <w:rPr>
          <w:rStyle w:val="contentpasted0"/>
          <w:rFonts w:eastAsia="Open Sans" w:cs="Open Sans"/>
          <w:color w:val="000000" w:themeColor="text1"/>
          <w:sz w:val="18"/>
          <w:szCs w:val="18"/>
        </w:rPr>
        <w:t> New York City</w:t>
      </w:r>
      <w:r w:rsidRPr="009C5EE4">
        <w:rPr>
          <w:rFonts w:eastAsia="Open Sans" w:cs="Open Sans"/>
          <w:color w:val="000000" w:themeColor="text1"/>
          <w:sz w:val="18"/>
          <w:szCs w:val="18"/>
        </w:rPr>
        <w:t>.</w:t>
      </w:r>
    </w:p>
    <w:p w14:paraId="588F778C" w14:textId="77777777" w:rsidR="00040881" w:rsidRPr="009C5EE4" w:rsidRDefault="00040881" w:rsidP="00040881">
      <w:pPr>
        <w:shd w:val="clear" w:color="auto" w:fill="FFFFFF" w:themeFill="background1"/>
        <w:jc w:val="both"/>
        <w:rPr>
          <w:rFonts w:eastAsia="Open Sans" w:cs="Open Sans"/>
          <w:color w:val="000000"/>
          <w:sz w:val="18"/>
          <w:szCs w:val="18"/>
        </w:rPr>
      </w:pPr>
      <w:r w:rsidRPr="009C5EE4">
        <w:rPr>
          <w:rFonts w:eastAsia="Open Sans" w:cs="Open Sans"/>
          <w:color w:val="000000" w:themeColor="text1"/>
          <w:sz w:val="18"/>
          <w:szCs w:val="18"/>
        </w:rPr>
        <w:t> </w:t>
      </w:r>
    </w:p>
    <w:p w14:paraId="12EA232F" w14:textId="77777777" w:rsidR="00040881" w:rsidRPr="009C5EE4" w:rsidRDefault="00040881" w:rsidP="00040881">
      <w:pPr>
        <w:shd w:val="clear" w:color="auto" w:fill="FFFFFF" w:themeFill="background1"/>
        <w:jc w:val="both"/>
        <w:rPr>
          <w:rFonts w:eastAsia="Open Sans" w:cs="Open Sans"/>
          <w:color w:val="000000"/>
          <w:sz w:val="18"/>
          <w:szCs w:val="18"/>
        </w:rPr>
      </w:pPr>
      <w:r w:rsidRPr="009C5EE4">
        <w:rPr>
          <w:rFonts w:eastAsia="Open Sans" w:cs="Open Sans"/>
          <w:color w:val="000000" w:themeColor="text1"/>
          <w:sz w:val="18"/>
          <w:szCs w:val="18"/>
        </w:rPr>
        <w:t>The Company is a clinical stage biopharmaceutical group developing new medicines and treatments to treat blood and autoimmune diseases. Hemogenyx Pharmaceuticals is developing several distinct and complementary product candidates, as well as platform technologies that it uses as engines for novel product development.</w:t>
      </w:r>
    </w:p>
    <w:p w14:paraId="7E28EC9B" w14:textId="296BDB75" w:rsidR="00A533CA" w:rsidRPr="00774C8F" w:rsidRDefault="00A533CA" w:rsidP="005B12FB">
      <w:pPr>
        <w:shd w:val="clear" w:color="auto" w:fill="FFFFFF"/>
        <w:spacing w:after="0" w:line="240" w:lineRule="auto"/>
        <w:jc w:val="both"/>
        <w:rPr>
          <w:rFonts w:eastAsia="Times New Roman" w:cs="Open Sans"/>
          <w:sz w:val="18"/>
          <w:szCs w:val="18"/>
          <w:lang w:eastAsia="en-GB"/>
        </w:rPr>
      </w:pPr>
    </w:p>
    <w:sectPr w:rsidR="00A533CA" w:rsidRPr="00774C8F" w:rsidSect="00C12665">
      <w:headerReference w:type="default" r:id="rId12"/>
      <w:footerReference w:type="default" r:id="rId13"/>
      <w:headerReference w:type="first" r:id="rId14"/>
      <w:footerReference w:type="first" r:id="rId15"/>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8BCD" w14:textId="77777777" w:rsidR="00824B89" w:rsidRDefault="00824B89" w:rsidP="00B255D4">
      <w:pPr>
        <w:spacing w:after="0" w:line="240" w:lineRule="auto"/>
      </w:pPr>
      <w:r>
        <w:separator/>
      </w:r>
    </w:p>
  </w:endnote>
  <w:endnote w:type="continuationSeparator" w:id="0">
    <w:p w14:paraId="42CCEA09" w14:textId="77777777" w:rsidR="00824B89" w:rsidRDefault="00824B89" w:rsidP="00B2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02D9" w14:textId="77777777" w:rsidR="008F7A31" w:rsidRPr="008F7A31" w:rsidRDefault="008F7A31" w:rsidP="008F7A31">
    <w:pPr>
      <w:pStyle w:val="Footer"/>
      <w:jc w:val="right"/>
      <w:rPr>
        <w:i/>
        <w:iCs/>
        <w:color w:val="7F7F7F" w:themeColor="text1" w:themeTint="80"/>
        <w:sz w:val="18"/>
        <w:szCs w:val="20"/>
      </w:rPr>
    </w:pPr>
    <w:r w:rsidRPr="008F7A31">
      <w:rPr>
        <w:i/>
        <w:iCs/>
        <w:color w:val="7F7F7F" w:themeColor="text1" w:themeTint="80"/>
        <w:sz w:val="18"/>
        <w:szCs w:val="20"/>
      </w:rPr>
      <w:t xml:space="preserve">Page </w:t>
    </w:r>
    <w:r w:rsidRPr="008F7A31">
      <w:rPr>
        <w:i/>
        <w:iCs/>
        <w:color w:val="7F7F7F" w:themeColor="text1" w:themeTint="80"/>
        <w:sz w:val="18"/>
        <w:szCs w:val="20"/>
      </w:rPr>
      <w:fldChar w:fldCharType="begin"/>
    </w:r>
    <w:r w:rsidRPr="008F7A31">
      <w:rPr>
        <w:i/>
        <w:iCs/>
        <w:color w:val="7F7F7F" w:themeColor="text1" w:themeTint="80"/>
        <w:sz w:val="18"/>
        <w:szCs w:val="20"/>
      </w:rPr>
      <w:instrText xml:space="preserve"> PAGE  \* Arabic  \* MERGEFORMAT </w:instrText>
    </w:r>
    <w:r w:rsidRPr="008F7A31">
      <w:rPr>
        <w:i/>
        <w:iCs/>
        <w:color w:val="7F7F7F" w:themeColor="text1" w:themeTint="80"/>
        <w:sz w:val="18"/>
        <w:szCs w:val="20"/>
      </w:rPr>
      <w:fldChar w:fldCharType="separate"/>
    </w:r>
    <w:r w:rsidRPr="008F7A31">
      <w:rPr>
        <w:i/>
        <w:iCs/>
        <w:noProof/>
        <w:color w:val="7F7F7F" w:themeColor="text1" w:themeTint="80"/>
        <w:sz w:val="18"/>
        <w:szCs w:val="20"/>
      </w:rPr>
      <w:t>1</w:t>
    </w:r>
    <w:r w:rsidRPr="008F7A31">
      <w:rPr>
        <w:i/>
        <w:iCs/>
        <w:color w:val="7F7F7F" w:themeColor="text1" w:themeTint="80"/>
        <w:sz w:val="18"/>
        <w:szCs w:val="20"/>
      </w:rPr>
      <w:fldChar w:fldCharType="end"/>
    </w:r>
    <w:r w:rsidRPr="008F7A31">
      <w:rPr>
        <w:i/>
        <w:iCs/>
        <w:color w:val="7F7F7F" w:themeColor="text1" w:themeTint="80"/>
        <w:sz w:val="18"/>
        <w:szCs w:val="20"/>
      </w:rPr>
      <w:t xml:space="preserve"> of </w:t>
    </w:r>
    <w:r w:rsidRPr="008F7A31">
      <w:rPr>
        <w:i/>
        <w:iCs/>
        <w:color w:val="7F7F7F" w:themeColor="text1" w:themeTint="80"/>
        <w:sz w:val="18"/>
        <w:szCs w:val="20"/>
      </w:rPr>
      <w:fldChar w:fldCharType="begin"/>
    </w:r>
    <w:r w:rsidRPr="008F7A31">
      <w:rPr>
        <w:i/>
        <w:iCs/>
        <w:color w:val="7F7F7F" w:themeColor="text1" w:themeTint="80"/>
        <w:sz w:val="18"/>
        <w:szCs w:val="20"/>
      </w:rPr>
      <w:instrText xml:space="preserve"> NUMPAGES  \* Arabic  \* MERGEFORMAT </w:instrText>
    </w:r>
    <w:r w:rsidRPr="008F7A31">
      <w:rPr>
        <w:i/>
        <w:iCs/>
        <w:color w:val="7F7F7F" w:themeColor="text1" w:themeTint="80"/>
        <w:sz w:val="18"/>
        <w:szCs w:val="20"/>
      </w:rPr>
      <w:fldChar w:fldCharType="separate"/>
    </w:r>
    <w:r w:rsidRPr="008F7A31">
      <w:rPr>
        <w:i/>
        <w:iCs/>
        <w:noProof/>
        <w:color w:val="7F7F7F" w:themeColor="text1" w:themeTint="80"/>
        <w:sz w:val="18"/>
        <w:szCs w:val="20"/>
      </w:rPr>
      <w:t>2</w:t>
    </w:r>
    <w:r w:rsidRPr="008F7A31">
      <w:rPr>
        <w:i/>
        <w:iCs/>
        <w:color w:val="7F7F7F" w:themeColor="text1" w:themeTint="80"/>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3755" w14:textId="77777777" w:rsidR="00B255D4" w:rsidRPr="008F7A31" w:rsidRDefault="00B255D4" w:rsidP="00B255D4">
    <w:pPr>
      <w:spacing w:line="240" w:lineRule="auto"/>
      <w:jc w:val="center"/>
      <w:rPr>
        <w:sz w:val="18"/>
        <w:szCs w:val="20"/>
      </w:rPr>
    </w:pPr>
  </w:p>
  <w:p w14:paraId="152A79D2" w14:textId="77777777" w:rsidR="008F7A31" w:rsidRPr="008F7A31" w:rsidRDefault="008F7A31" w:rsidP="00B255D4">
    <w:pPr>
      <w:spacing w:line="240" w:lineRule="auto"/>
      <w:jc w:val="center"/>
      <w:rPr>
        <w:sz w:val="18"/>
        <w:szCs w:val="20"/>
      </w:rPr>
    </w:pPr>
  </w:p>
  <w:p w14:paraId="19901AC6" w14:textId="77777777" w:rsidR="00B255D4" w:rsidRPr="008F7A31" w:rsidRDefault="00B255D4" w:rsidP="00B255D4">
    <w:pPr>
      <w:spacing w:line="240" w:lineRule="auto"/>
      <w:jc w:val="center"/>
      <w:rPr>
        <w:sz w:val="18"/>
        <w:szCs w:val="20"/>
      </w:rPr>
    </w:pPr>
    <w:r w:rsidRPr="008F7A31">
      <w:rPr>
        <w:noProof/>
        <w:sz w:val="18"/>
        <w:szCs w:val="20"/>
        <w:lang w:val="en-US"/>
      </w:rPr>
      <mc:AlternateContent>
        <mc:Choice Requires="wps">
          <w:drawing>
            <wp:anchor distT="0" distB="0" distL="114300" distR="114300" simplePos="0" relativeHeight="251660288" behindDoc="0" locked="0" layoutInCell="1" allowOverlap="1" wp14:anchorId="2070EFDE" wp14:editId="27AECE59">
              <wp:simplePos x="0" y="0"/>
              <wp:positionH relativeFrom="margin">
                <wp:posOffset>694055</wp:posOffset>
              </wp:positionH>
              <wp:positionV relativeFrom="paragraph">
                <wp:posOffset>52070</wp:posOffset>
              </wp:positionV>
              <wp:extent cx="4343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343400" cy="0"/>
                      </a:xfrm>
                      <a:prstGeom prst="line">
                        <a:avLst/>
                      </a:prstGeom>
                      <a:ln>
                        <a:solidFill>
                          <a:srgbClr val="95373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58128557" id="Straight Connector 1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4.65pt,4.1pt" to="396.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" strokecolor="#953735" strokeweight=".5pt">
              <v:stroke joinstyle="miter"/>
              <w10:wrap anchorx="margin"/>
            </v:line>
          </w:pict>
        </mc:Fallback>
      </mc:AlternateContent>
    </w:r>
  </w:p>
  <w:p w14:paraId="485FDB39" w14:textId="3D16E0CA" w:rsidR="00B255D4" w:rsidRPr="008F7A31" w:rsidRDefault="004A09AF" w:rsidP="004A09AF">
    <w:pPr>
      <w:spacing w:line="240" w:lineRule="auto"/>
      <w:jc w:val="center"/>
      <w:rPr>
        <w:sz w:val="16"/>
        <w:szCs w:val="18"/>
      </w:rPr>
    </w:pPr>
    <w:r w:rsidRPr="008F7A31">
      <w:rPr>
        <w:sz w:val="16"/>
        <w:szCs w:val="18"/>
      </w:rPr>
      <w:t>Hemogenyx Pharmaceuticals plc is registered in England and Wales as company number 08401609</w:t>
    </w:r>
    <w:r>
      <w:rPr>
        <w:sz w:val="16"/>
        <w:szCs w:val="18"/>
      </w:rPr>
      <w:br/>
    </w:r>
    <w:r w:rsidRPr="008F7A31">
      <w:rPr>
        <w:sz w:val="16"/>
        <w:szCs w:val="18"/>
      </w:rPr>
      <w:t xml:space="preserve">Registered office: </w:t>
    </w:r>
    <w:r w:rsidR="00536134" w:rsidRPr="00B64A99">
      <w:rPr>
        <w:sz w:val="16"/>
        <w:szCs w:val="18"/>
      </w:rPr>
      <w:t>6 Heddon Street, London, W1B 4BT</w:t>
    </w:r>
    <w:r w:rsidR="00536134" w:rsidRPr="00947C49">
      <w:rPr>
        <w:sz w:val="16"/>
        <w:szCs w:val="18"/>
      </w:rPr>
      <w:t>, United Kingdom</w:t>
    </w:r>
    <w:r w:rsidR="00F0380E">
      <w:rPr>
        <w:sz w:val="16"/>
        <w:szCs w:val="18"/>
      </w:rPr>
      <w:br/>
      <w:t xml:space="preserve">LEI </w:t>
    </w:r>
    <w:r w:rsidR="00F0380E" w:rsidRPr="00947C49">
      <w:rPr>
        <w:sz w:val="16"/>
        <w:szCs w:val="18"/>
      </w:rPr>
      <w:t>2138008L93GYU5GN6179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9357" w14:textId="77777777" w:rsidR="00824B89" w:rsidRDefault="00824B89" w:rsidP="00B255D4">
      <w:pPr>
        <w:spacing w:after="0" w:line="240" w:lineRule="auto"/>
      </w:pPr>
      <w:r>
        <w:separator/>
      </w:r>
    </w:p>
  </w:footnote>
  <w:footnote w:type="continuationSeparator" w:id="0">
    <w:p w14:paraId="2B913AF4" w14:textId="77777777" w:rsidR="00824B89" w:rsidRDefault="00824B89" w:rsidP="00B25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2548" w14:textId="77777777" w:rsidR="00B255D4" w:rsidRDefault="00B255D4">
    <w:pPr>
      <w:pStyle w:val="Header"/>
    </w:pPr>
    <w:r>
      <w:rPr>
        <w:noProof/>
      </w:rPr>
      <w:drawing>
        <wp:inline distT="0" distB="0" distL="0" distR="0" wp14:anchorId="446A9D32" wp14:editId="491D51F1">
          <wp:extent cx="928800" cy="252000"/>
          <wp:effectExtent l="0" t="0" r="508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u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28800" cy="252000"/>
                  </a:xfrm>
                  <a:prstGeom prst="rect">
                    <a:avLst/>
                  </a:prstGeom>
                </pic:spPr>
              </pic:pic>
            </a:graphicData>
          </a:graphic>
        </wp:inline>
      </w:drawing>
    </w:r>
  </w:p>
  <w:p w14:paraId="71BCE21E" w14:textId="77777777" w:rsidR="008F7A31" w:rsidRDefault="008F7A31">
    <w:pPr>
      <w:pStyle w:val="Header"/>
    </w:pPr>
  </w:p>
  <w:p w14:paraId="763B841E" w14:textId="77777777" w:rsidR="00B255D4" w:rsidRDefault="00B25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EDB2" w14:textId="77777777" w:rsidR="008F7A31" w:rsidRDefault="008F7A31" w:rsidP="008F7A31">
    <w:pPr>
      <w:pStyle w:val="Header"/>
      <w:jc w:val="center"/>
    </w:pPr>
  </w:p>
  <w:p w14:paraId="1AB7C3EC" w14:textId="77777777" w:rsidR="00B255D4" w:rsidRDefault="00B255D4" w:rsidP="008F7A31">
    <w:pPr>
      <w:pStyle w:val="Header"/>
      <w:jc w:val="center"/>
    </w:pPr>
    <w:r>
      <w:rPr>
        <w:noProof/>
      </w:rPr>
      <w:drawing>
        <wp:inline distT="0" distB="0" distL="0" distR="0" wp14:anchorId="04DD6F09" wp14:editId="3DF94FA3">
          <wp:extent cx="3085200" cy="846000"/>
          <wp:effectExtent l="0" t="0" r="127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u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85200" cy="846000"/>
                  </a:xfrm>
                  <a:prstGeom prst="rect">
                    <a:avLst/>
                  </a:prstGeom>
                </pic:spPr>
              </pic:pic>
            </a:graphicData>
          </a:graphic>
        </wp:inline>
      </w:drawing>
    </w:r>
  </w:p>
  <w:p w14:paraId="16E3EAC3" w14:textId="77777777" w:rsidR="00B255D4" w:rsidRDefault="00B255D4">
    <w:pPr>
      <w:pStyle w:val="Header"/>
    </w:pPr>
  </w:p>
  <w:p w14:paraId="40B1ECE4" w14:textId="77777777" w:rsidR="00B255D4" w:rsidRDefault="00B255D4">
    <w:pPr>
      <w:pStyle w:val="Header"/>
    </w:pPr>
  </w:p>
  <w:p w14:paraId="04D9CD8F" w14:textId="77777777" w:rsidR="00B255D4" w:rsidRDefault="00B25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DB"/>
    <w:rsid w:val="00001620"/>
    <w:rsid w:val="000273A6"/>
    <w:rsid w:val="00040881"/>
    <w:rsid w:val="000B5291"/>
    <w:rsid w:val="00106F63"/>
    <w:rsid w:val="00135A38"/>
    <w:rsid w:val="001428A1"/>
    <w:rsid w:val="00143CB7"/>
    <w:rsid w:val="0016784C"/>
    <w:rsid w:val="00174F8A"/>
    <w:rsid w:val="00184816"/>
    <w:rsid w:val="0019697C"/>
    <w:rsid w:val="0019736A"/>
    <w:rsid w:val="001C35B2"/>
    <w:rsid w:val="001C5796"/>
    <w:rsid w:val="001C7EDE"/>
    <w:rsid w:val="001D30F9"/>
    <w:rsid w:val="001D3F0B"/>
    <w:rsid w:val="00260F82"/>
    <w:rsid w:val="00263D24"/>
    <w:rsid w:val="002B0132"/>
    <w:rsid w:val="003846E9"/>
    <w:rsid w:val="0038723D"/>
    <w:rsid w:val="003909CA"/>
    <w:rsid w:val="003B6B9E"/>
    <w:rsid w:val="003D3C07"/>
    <w:rsid w:val="003E0B9C"/>
    <w:rsid w:val="0041280E"/>
    <w:rsid w:val="00450F70"/>
    <w:rsid w:val="004669C5"/>
    <w:rsid w:val="004A09AF"/>
    <w:rsid w:val="004B5375"/>
    <w:rsid w:val="004D0017"/>
    <w:rsid w:val="004F3E95"/>
    <w:rsid w:val="004F78A5"/>
    <w:rsid w:val="00505500"/>
    <w:rsid w:val="00536134"/>
    <w:rsid w:val="00556836"/>
    <w:rsid w:val="00562A24"/>
    <w:rsid w:val="00586A2F"/>
    <w:rsid w:val="005A0EB6"/>
    <w:rsid w:val="005A3D3E"/>
    <w:rsid w:val="005B12FB"/>
    <w:rsid w:val="005B1D99"/>
    <w:rsid w:val="005B3A8E"/>
    <w:rsid w:val="005C750B"/>
    <w:rsid w:val="005D566C"/>
    <w:rsid w:val="006114DB"/>
    <w:rsid w:val="0062570C"/>
    <w:rsid w:val="00637066"/>
    <w:rsid w:val="00682B3B"/>
    <w:rsid w:val="00690A29"/>
    <w:rsid w:val="006D0D7C"/>
    <w:rsid w:val="006F46B9"/>
    <w:rsid w:val="007005FF"/>
    <w:rsid w:val="00756C35"/>
    <w:rsid w:val="00774C8F"/>
    <w:rsid w:val="007B5E2C"/>
    <w:rsid w:val="00806C9E"/>
    <w:rsid w:val="00824B89"/>
    <w:rsid w:val="00847495"/>
    <w:rsid w:val="00850C34"/>
    <w:rsid w:val="008636AD"/>
    <w:rsid w:val="0086426E"/>
    <w:rsid w:val="008E6C1F"/>
    <w:rsid w:val="008F2B39"/>
    <w:rsid w:val="008F7A31"/>
    <w:rsid w:val="0093278C"/>
    <w:rsid w:val="00977C6A"/>
    <w:rsid w:val="009A0FDF"/>
    <w:rsid w:val="009A61EA"/>
    <w:rsid w:val="009B4685"/>
    <w:rsid w:val="009D385F"/>
    <w:rsid w:val="009F36C8"/>
    <w:rsid w:val="00A345A4"/>
    <w:rsid w:val="00A533CA"/>
    <w:rsid w:val="00A7743B"/>
    <w:rsid w:val="00AE51DB"/>
    <w:rsid w:val="00AF053B"/>
    <w:rsid w:val="00B255D4"/>
    <w:rsid w:val="00B8738E"/>
    <w:rsid w:val="00BB572F"/>
    <w:rsid w:val="00BF0359"/>
    <w:rsid w:val="00C12665"/>
    <w:rsid w:val="00C724B4"/>
    <w:rsid w:val="00C77CE4"/>
    <w:rsid w:val="00C80B66"/>
    <w:rsid w:val="00D04C5E"/>
    <w:rsid w:val="00D77D8F"/>
    <w:rsid w:val="00D95F23"/>
    <w:rsid w:val="00E14671"/>
    <w:rsid w:val="00E300A0"/>
    <w:rsid w:val="00E90F9B"/>
    <w:rsid w:val="00E93626"/>
    <w:rsid w:val="00EA58B0"/>
    <w:rsid w:val="00EE35AC"/>
    <w:rsid w:val="00F0380E"/>
    <w:rsid w:val="00F14CC6"/>
    <w:rsid w:val="00F806FB"/>
    <w:rsid w:val="00FA62EA"/>
    <w:rsid w:val="00FB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C724C"/>
  <w15:chartTrackingRefBased/>
  <w15:docId w15:val="{AEC72EF8-5FCD-410B-AB47-636C7A44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31"/>
    <w:pPr>
      <w:spacing w:after="80"/>
    </w:pPr>
    <w:rPr>
      <w:rFonts w:ascii="Open Sans" w:hAnsi="Open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3CA"/>
    <w:rPr>
      <w:color w:val="0000FF"/>
      <w:u w:val="single"/>
    </w:rPr>
  </w:style>
  <w:style w:type="paragraph" w:customStyle="1" w:styleId="bj">
    <w:name w:val="bj"/>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k">
    <w:name w:val="bk"/>
    <w:basedOn w:val="DefaultParagraphFont"/>
    <w:rsid w:val="00A533CA"/>
  </w:style>
  <w:style w:type="character" w:customStyle="1" w:styleId="bl">
    <w:name w:val="bl"/>
    <w:basedOn w:val="DefaultParagraphFont"/>
    <w:rsid w:val="00A533CA"/>
  </w:style>
  <w:style w:type="character" w:customStyle="1" w:styleId="bm">
    <w:name w:val="bm"/>
    <w:basedOn w:val="DefaultParagraphFont"/>
    <w:rsid w:val="00A533CA"/>
  </w:style>
  <w:style w:type="paragraph" w:customStyle="1" w:styleId="a">
    <w:name w:val="a"/>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
    <w:name w:val="be"/>
    <w:basedOn w:val="DefaultParagraphFont"/>
    <w:rsid w:val="00A533CA"/>
  </w:style>
  <w:style w:type="paragraph" w:customStyle="1" w:styleId="bn">
    <w:name w:val="bn"/>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d">
    <w:name w:val="bd"/>
    <w:basedOn w:val="DefaultParagraphFont"/>
    <w:rsid w:val="00A533CA"/>
  </w:style>
  <w:style w:type="paragraph" w:customStyle="1" w:styleId="bo">
    <w:name w:val="bo"/>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p">
    <w:name w:val="bp"/>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b">
    <w:name w:val="bb"/>
    <w:basedOn w:val="DefaultParagraphFont"/>
    <w:rsid w:val="00A533CA"/>
  </w:style>
  <w:style w:type="character" w:customStyle="1" w:styleId="ba">
    <w:name w:val="ba"/>
    <w:basedOn w:val="DefaultParagraphFont"/>
    <w:rsid w:val="00A533CA"/>
  </w:style>
  <w:style w:type="character" w:customStyle="1" w:styleId="ay">
    <w:name w:val="ay"/>
    <w:basedOn w:val="DefaultParagraphFont"/>
    <w:rsid w:val="00A533CA"/>
  </w:style>
  <w:style w:type="character" w:customStyle="1" w:styleId="ax">
    <w:name w:val="ax"/>
    <w:basedOn w:val="DefaultParagraphFont"/>
    <w:rsid w:val="00A533CA"/>
  </w:style>
  <w:style w:type="character" w:customStyle="1" w:styleId="aw">
    <w:name w:val="aw"/>
    <w:basedOn w:val="DefaultParagraphFont"/>
    <w:rsid w:val="00A533CA"/>
  </w:style>
  <w:style w:type="paragraph" w:customStyle="1" w:styleId="bq">
    <w:name w:val="bq"/>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
    <w:name w:val="br"/>
    <w:basedOn w:val="DefaultParagraphFont"/>
    <w:rsid w:val="00A533CA"/>
  </w:style>
  <w:style w:type="character" w:customStyle="1" w:styleId="bs">
    <w:name w:val="bs"/>
    <w:basedOn w:val="DefaultParagraphFont"/>
    <w:rsid w:val="00A533CA"/>
  </w:style>
  <w:style w:type="character" w:customStyle="1" w:styleId="bt">
    <w:name w:val="bt"/>
    <w:basedOn w:val="DefaultParagraphFont"/>
    <w:rsid w:val="00A533CA"/>
  </w:style>
  <w:style w:type="character" w:customStyle="1" w:styleId="bu">
    <w:name w:val="bu"/>
    <w:basedOn w:val="DefaultParagraphFont"/>
    <w:rsid w:val="00A533CA"/>
  </w:style>
  <w:style w:type="character" w:customStyle="1" w:styleId="bv">
    <w:name w:val="bv"/>
    <w:basedOn w:val="DefaultParagraphFont"/>
    <w:rsid w:val="00A533CA"/>
  </w:style>
  <w:style w:type="paragraph" w:customStyle="1" w:styleId="bw">
    <w:name w:val="bw"/>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
    <w:name w:val="by"/>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q">
    <w:name w:val="aq"/>
    <w:basedOn w:val="DefaultParagraphFont"/>
    <w:rsid w:val="00A533CA"/>
  </w:style>
  <w:style w:type="paragraph" w:customStyle="1" w:styleId="bz">
    <w:name w:val="bz"/>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
    <w:name w:val="ca"/>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
    <w:name w:val="cb"/>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c">
    <w:name w:val="cc"/>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d">
    <w:name w:val="cd"/>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
    <w:name w:val="ce"/>
    <w:basedOn w:val="Normal"/>
    <w:rsid w:val="00A533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25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5D4"/>
  </w:style>
  <w:style w:type="paragraph" w:styleId="Footer">
    <w:name w:val="footer"/>
    <w:basedOn w:val="Normal"/>
    <w:link w:val="FooterChar"/>
    <w:uiPriority w:val="99"/>
    <w:unhideWhenUsed/>
    <w:rsid w:val="00B2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5D4"/>
  </w:style>
  <w:style w:type="paragraph" w:styleId="BalloonText">
    <w:name w:val="Balloon Text"/>
    <w:basedOn w:val="Normal"/>
    <w:link w:val="BalloonTextChar"/>
    <w:uiPriority w:val="99"/>
    <w:semiHidden/>
    <w:unhideWhenUsed/>
    <w:rsid w:val="00850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34"/>
    <w:rPr>
      <w:rFonts w:ascii="Segoe UI" w:hAnsi="Segoe UI" w:cs="Segoe UI"/>
      <w:sz w:val="18"/>
      <w:szCs w:val="18"/>
    </w:rPr>
  </w:style>
  <w:style w:type="paragraph" w:customStyle="1" w:styleId="cf">
    <w:name w:val="cf"/>
    <w:basedOn w:val="Normal"/>
    <w:rsid w:val="006114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40881"/>
    <w:rPr>
      <w:color w:val="605E5C"/>
      <w:shd w:val="clear" w:color="auto" w:fill="E1DFDD"/>
    </w:rPr>
  </w:style>
  <w:style w:type="character" w:styleId="Strong">
    <w:name w:val="Strong"/>
    <w:basedOn w:val="DefaultParagraphFont"/>
    <w:uiPriority w:val="22"/>
    <w:qFormat/>
    <w:rsid w:val="00040881"/>
    <w:rPr>
      <w:b/>
      <w:bCs/>
    </w:rPr>
  </w:style>
  <w:style w:type="character" w:customStyle="1" w:styleId="contentpasted0">
    <w:name w:val="contentpasted0"/>
    <w:basedOn w:val="DefaultParagraphFont"/>
    <w:rsid w:val="000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90864">
      <w:bodyDiv w:val="1"/>
      <w:marLeft w:val="0"/>
      <w:marRight w:val="0"/>
      <w:marTop w:val="0"/>
      <w:marBottom w:val="0"/>
      <w:divBdr>
        <w:top w:val="none" w:sz="0" w:space="0" w:color="auto"/>
        <w:left w:val="none" w:sz="0" w:space="0" w:color="auto"/>
        <w:bottom w:val="none" w:sz="0" w:space="0" w:color="auto"/>
        <w:right w:val="none" w:sz="0" w:space="0" w:color="auto"/>
      </w:divBdr>
      <w:divsChild>
        <w:div w:id="795105380">
          <w:marLeft w:val="0"/>
          <w:marRight w:val="0"/>
          <w:marTop w:val="0"/>
          <w:marBottom w:val="0"/>
          <w:divBdr>
            <w:top w:val="none" w:sz="0" w:space="0" w:color="auto"/>
            <w:left w:val="none" w:sz="0" w:space="0" w:color="auto"/>
            <w:bottom w:val="none" w:sz="0" w:space="0" w:color="auto"/>
            <w:right w:val="none" w:sz="0" w:space="0" w:color="auto"/>
          </w:divBdr>
        </w:div>
        <w:div w:id="541137268">
          <w:marLeft w:val="0"/>
          <w:marRight w:val="0"/>
          <w:marTop w:val="0"/>
          <w:marBottom w:val="0"/>
          <w:divBdr>
            <w:top w:val="none" w:sz="0" w:space="0" w:color="auto"/>
            <w:left w:val="none" w:sz="0" w:space="0" w:color="auto"/>
            <w:bottom w:val="none" w:sz="0" w:space="0" w:color="auto"/>
            <w:right w:val="none" w:sz="0" w:space="0" w:color="auto"/>
          </w:divBdr>
        </w:div>
        <w:div w:id="281308578">
          <w:marLeft w:val="0"/>
          <w:marRight w:val="0"/>
          <w:marTop w:val="0"/>
          <w:marBottom w:val="0"/>
          <w:divBdr>
            <w:top w:val="none" w:sz="0" w:space="0" w:color="auto"/>
            <w:left w:val="none" w:sz="0" w:space="0" w:color="auto"/>
            <w:bottom w:val="none" w:sz="0" w:space="0" w:color="auto"/>
            <w:right w:val="none" w:sz="0" w:space="0" w:color="auto"/>
          </w:divBdr>
        </w:div>
        <w:div w:id="1987512008">
          <w:marLeft w:val="0"/>
          <w:marRight w:val="0"/>
          <w:marTop w:val="0"/>
          <w:marBottom w:val="0"/>
          <w:divBdr>
            <w:top w:val="none" w:sz="0" w:space="0" w:color="auto"/>
            <w:left w:val="none" w:sz="0" w:space="0" w:color="auto"/>
            <w:bottom w:val="none" w:sz="0" w:space="0" w:color="auto"/>
            <w:right w:val="none" w:sz="0" w:space="0" w:color="auto"/>
          </w:divBdr>
        </w:div>
        <w:div w:id="1743479763">
          <w:marLeft w:val="1440"/>
          <w:marRight w:val="1440"/>
          <w:marTop w:val="1440"/>
          <w:marBottom w:val="1440"/>
          <w:divBdr>
            <w:top w:val="none" w:sz="0" w:space="0" w:color="auto"/>
            <w:left w:val="none" w:sz="0" w:space="0" w:color="auto"/>
            <w:bottom w:val="none" w:sz="0" w:space="0" w:color="auto"/>
            <w:right w:val="none" w:sz="0" w:space="0" w:color="auto"/>
          </w:divBdr>
        </w:div>
        <w:div w:id="750856882">
          <w:marLeft w:val="0"/>
          <w:marRight w:val="0"/>
          <w:marTop w:val="0"/>
          <w:marBottom w:val="0"/>
          <w:divBdr>
            <w:top w:val="none" w:sz="0" w:space="0" w:color="auto"/>
            <w:left w:val="none" w:sz="0" w:space="0" w:color="auto"/>
            <w:bottom w:val="none" w:sz="0" w:space="0" w:color="auto"/>
            <w:right w:val="none" w:sz="0" w:space="0" w:color="auto"/>
          </w:divBdr>
        </w:div>
        <w:div w:id="124742304">
          <w:marLeft w:val="0"/>
          <w:marRight w:val="0"/>
          <w:marTop w:val="0"/>
          <w:marBottom w:val="0"/>
          <w:divBdr>
            <w:top w:val="none" w:sz="0" w:space="0" w:color="auto"/>
            <w:left w:val="none" w:sz="0" w:space="0" w:color="auto"/>
            <w:bottom w:val="none" w:sz="0" w:space="0" w:color="auto"/>
            <w:right w:val="none" w:sz="0" w:space="0" w:color="auto"/>
          </w:divBdr>
        </w:div>
        <w:div w:id="342627926">
          <w:marLeft w:val="0"/>
          <w:marRight w:val="0"/>
          <w:marTop w:val="0"/>
          <w:marBottom w:val="0"/>
          <w:divBdr>
            <w:top w:val="none" w:sz="0" w:space="0" w:color="auto"/>
            <w:left w:val="none" w:sz="0" w:space="0" w:color="auto"/>
            <w:bottom w:val="none" w:sz="0" w:space="0" w:color="auto"/>
            <w:right w:val="none" w:sz="0" w:space="0" w:color="auto"/>
          </w:divBdr>
        </w:div>
        <w:div w:id="189369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redmond@hemogenyx.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eadquarters@hemogenyx.com" TargetMode="External"/><Relationship Id="rId4" Type="http://schemas.openxmlformats.org/officeDocument/2006/relationships/styles" Target="styles.xml"/><Relationship Id="rId9" Type="http://schemas.openxmlformats.org/officeDocument/2006/relationships/hyperlink" Target="https://hemogenyx.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0517f5-d0a3-4509-9195-9afa72d5617b">
      <Terms xmlns="http://schemas.microsoft.com/office/infopath/2007/PartnerControls"/>
    </lcf76f155ced4ddcb4097134ff3c332f>
    <TaxCatchAll xmlns="beddc6d5-89ab-469f-9272-2b84237f73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C0056E7C97C4F91B2AE7BE9A3E6EF" ma:contentTypeVersion="15" ma:contentTypeDescription="Create a new document." ma:contentTypeScope="" ma:versionID="0637dd254715fb6823c6cb39da7790e3">
  <xsd:schema xmlns:xsd="http://www.w3.org/2001/XMLSchema" xmlns:xs="http://www.w3.org/2001/XMLSchema" xmlns:p="http://schemas.microsoft.com/office/2006/metadata/properties" xmlns:ns2="840517f5-d0a3-4509-9195-9afa72d5617b" xmlns:ns3="beddc6d5-89ab-469f-9272-2b84237f733c" targetNamespace="http://schemas.microsoft.com/office/2006/metadata/properties" ma:root="true" ma:fieldsID="fb8a4c345eb7f3e84eeae589c473f7ab" ns2:_="" ns3:_="">
    <xsd:import namespace="840517f5-d0a3-4509-9195-9afa72d5617b"/>
    <xsd:import namespace="beddc6d5-89ab-469f-9272-2b84237f7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517f5-d0a3-4509-9195-9afa72d56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2dad37-f59d-402d-b981-9712b6e5e2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dc6d5-89ab-469f-9272-2b84237f73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9b0b8a-9cd6-4982-8597-0373ac21af1e}" ma:internalName="TaxCatchAll" ma:showField="CatchAllData" ma:web="beddc6d5-89ab-469f-9272-2b84237f73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A6A63-8C67-4AEB-BA48-FEA1F90FA612}">
  <ds:schemaRefs>
    <ds:schemaRef ds:uri="http://schemas.microsoft.com/sharepoint/v3/contenttype/forms"/>
  </ds:schemaRefs>
</ds:datastoreItem>
</file>

<file path=customXml/itemProps2.xml><?xml version="1.0" encoding="utf-8"?>
<ds:datastoreItem xmlns:ds="http://schemas.openxmlformats.org/officeDocument/2006/customXml" ds:itemID="{F184FE58-16A0-4BF4-9367-5428224486B3}">
  <ds:schemaRefs>
    <ds:schemaRef ds:uri="http://schemas.microsoft.com/office/2006/metadata/properties"/>
    <ds:schemaRef ds:uri="http://schemas.microsoft.com/office/infopath/2007/PartnerControls"/>
    <ds:schemaRef ds:uri="840517f5-d0a3-4509-9195-9afa72d5617b"/>
    <ds:schemaRef ds:uri="beddc6d5-89ab-469f-9272-2b84237f733c"/>
  </ds:schemaRefs>
</ds:datastoreItem>
</file>

<file path=customXml/itemProps3.xml><?xml version="1.0" encoding="utf-8"?>
<ds:datastoreItem xmlns:ds="http://schemas.openxmlformats.org/officeDocument/2006/customXml" ds:itemID="{07E65775-56BA-4743-810F-4BE0C8D3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517f5-d0a3-4509-9195-9afa72d5617b"/>
    <ds:schemaRef ds:uri="beddc6d5-89ab-469f-9272-2b84237f7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Wright</dc:creator>
  <cp:keywords/>
  <dc:description/>
  <cp:lastModifiedBy>Andrew Wright</cp:lastModifiedBy>
  <cp:revision>15</cp:revision>
  <cp:lastPrinted>2025-07-29T21:56:00Z</cp:lastPrinted>
  <dcterms:created xsi:type="dcterms:W3CDTF">2025-04-23T00:52:00Z</dcterms:created>
  <dcterms:modified xsi:type="dcterms:W3CDTF">2025-07-29T21:56:00Z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0x010100005C0056E7C97C4F91B2AE7BE9A3E6EF</vt:lpwstr>
  </property>
  <property fmtid="{D5CDD505-2E9C-101B-9397-08002B2CF9AE}" pid="3" name="MediaServiceImageTags">
    <vt:lpwstr/>
  </property>
</Properties>
</file>